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94"/>
        <w:gridCol w:w="9273"/>
        <w:gridCol w:w="3431"/>
      </w:tblGrid>
      <w:tr>
        <w:trPr>
          <w:trHeight w:val="550" w:hRule="atLeast"/>
          <w:cantSplit w:val="true"/>
        </w:trPr>
        <w:tc>
          <w:tcPr>
            <w:tcW w:w="269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iCs/>
                <w:sz w:val="28"/>
              </w:rPr>
            </w:pPr>
            <w:r>
              <w:rPr/>
              <w:drawing>
                <wp:inline distT="0" distB="0" distL="0" distR="0">
                  <wp:extent cx="1057275" cy="981075"/>
                  <wp:effectExtent l="0" t="0" r="0" b="0"/>
                  <wp:docPr id="1" name="Immagine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>
            <w:pPr>
              <w:pStyle w:val="Corpodeltesto"/>
              <w:widowControl w:val="false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</w:t>
            </w:r>
            <w:r>
              <w:rPr>
                <w:rFonts w:ascii="Arial" w:hAnsi="Arial"/>
                <w:iCs/>
                <w:sz w:val="40"/>
              </w:rPr>
              <w:t>V. Floriani”</w:t>
            </w:r>
          </w:p>
          <w:p>
            <w:pPr>
              <w:pStyle w:val="Normal"/>
              <w:widowControl w:val="false"/>
              <w:ind w:right="34" w:hanging="0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</w:r>
          </w:p>
          <w:p>
            <w:pPr>
              <w:pStyle w:val="Intestazione"/>
              <w:widowControl w:val="false"/>
              <w:tabs>
                <w:tab w:val="clear" w:pos="4819"/>
                <w:tab w:val="clear" w:pos="9638"/>
              </w:tabs>
              <w:spacing w:before="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  <w:t>Via B. Cremagnani, 18 – Vimercate (MB)</w:t>
            </w:r>
          </w:p>
        </w:tc>
        <w:tc>
          <w:tcPr>
            <w:tcW w:w="343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  <w:drawing>
                <wp:inline distT="0" distB="0" distL="0" distR="0">
                  <wp:extent cx="1181100" cy="733425"/>
                  <wp:effectExtent l="0" t="0" r="0" b="0"/>
                  <wp:docPr id="2" name="Immagine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ind w:left="0" w:right="34" w:hanging="0"/>
              <w:rPr>
                <w:sz w:val="16"/>
              </w:rPr>
            </w:pPr>
            <w:r>
              <w:rPr>
                <w:i w:val="false"/>
                <w:iCs w:val="false"/>
              </w:rPr>
              <w:t>Programmazione Didattica Annuale - Docente</w:t>
            </w:r>
          </w:p>
        </w:tc>
        <w:tc>
          <w:tcPr>
            <w:tcW w:w="343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snapToGrid w:val="false"/>
              <w:ind w:left="0" w:right="34" w:hanging="0"/>
              <w:jc w:val="left"/>
              <w:rPr/>
            </w:pPr>
            <w:r>
              <w:rPr/>
            </w:r>
          </w:p>
        </w:tc>
        <w:tc>
          <w:tcPr>
            <w:tcW w:w="34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Arial" w:hAnsi="Arial"/>
                <w:sz w:val="20"/>
              </w:rPr>
              <w:t xml:space="preserve">              </w:t>
            </w:r>
            <w:r>
              <w:rPr>
                <w:rFonts w:ascii="Arial" w:hAnsi="Arial"/>
                <w:sz w:val="20"/>
              </w:rPr>
              <w:t>Rev: 17/02/2022</w:t>
            </w:r>
          </w:p>
        </w:tc>
      </w:tr>
    </w:tbl>
    <w:p>
      <w:pPr>
        <w:pStyle w:val="Normal"/>
        <w:bidi w:val="0"/>
        <w:spacing w:before="240" w:after="160"/>
        <w:jc w:val="left"/>
        <w:rPr>
          <w:rFonts w:ascii="Arial" w:hAnsi="Arial" w:eastAsia="Times New Roman" w:cs="Arial"/>
          <w:sz w:val="24"/>
          <w:szCs w:val="24"/>
          <w:lang w:eastAsia="he-IL" w:bidi="he-IL"/>
        </w:rPr>
      </w:pPr>
      <w:r>
        <w:rPr>
          <w:rFonts w:eastAsia="Times New Roman" w:cs="Arial" w:ascii="Arial" w:hAnsi="Arial"/>
          <w:sz w:val="24"/>
          <w:szCs w:val="24"/>
          <w:lang w:eastAsia="he-IL" w:bidi="he-IL"/>
        </w:rPr>
        <w:t xml:space="preserve">A.S. 2022/23       Insegnamento: Psicologia Gen. e Applic.   Docente: Giacalone </w:t>
        <w:tab/>
        <w:t>Classe: 5^C           Ore sett. D'insegnamento: 165</w:t>
      </w:r>
    </w:p>
    <w:p>
      <w:pPr>
        <w:pStyle w:val="Normal"/>
        <w:spacing w:before="240" w:after="160"/>
        <w:jc w:val="center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473"/>
        <w:gridCol w:w="1980"/>
        <w:gridCol w:w="2117"/>
        <w:gridCol w:w="2847"/>
        <w:gridCol w:w="2467"/>
        <w:gridCol w:w="1796"/>
        <w:gridCol w:w="1210"/>
        <w:gridCol w:w="1506"/>
      </w:tblGrid>
      <w:tr>
        <w:trPr>
          <w:trHeight w:val="680" w:hRule="atLeast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pacing w:lineRule="auto" w:line="240" w:before="24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24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>
        <w:trPr>
          <w:trHeight w:val="2388" w:hRule="atLeast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22"/>
                <w:szCs w:val="22"/>
                <w:lang w:eastAsia="it-IT"/>
              </w:rPr>
              <w:t>1. Gli orientamenti psicologici utili per l’intervento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potenziamento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none"/>
                <w:lang w:eastAsia="it-IT"/>
              </w:rPr>
              <w:t>Assi coinvolti: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Scientifico tecnologico e professionale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>Insegnamenti: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Psicologia generale e applicata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>- U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tilizzare gli strumenti culturali e metodologici per porsi con atteggiamento razionale, critico e responsabile di fronte alla realtà, ai suoi fenomeni e ai suoi problemi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eastAsia="Times New Roman" w:cs="Arial"/>
                <w:i w:val="false"/>
                <w:i w:val="false"/>
                <w:iCs w:val="false"/>
                <w:color w:val="000000"/>
                <w:kern w:val="0"/>
                <w:lang w:eastAsia="it-IT"/>
              </w:rPr>
            </w:pPr>
            <w:r>
              <w:rPr>
                <w:rFonts w:eastAsia="Times New Roman" w:cs="Arial"/>
                <w:i w:val="false"/>
                <w:iCs w:val="false"/>
                <w:color w:val="000000"/>
                <w:kern w:val="0"/>
                <w:lang w:eastAsia="it-IT"/>
              </w:rPr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>
            <w:pPr>
              <w:pStyle w:val="Normal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- Facilitare la comunicazione tra persone e gruppi attraverso linguaggi e sistemi di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relazioni adeguati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Comprendere le dinamiche proprie della realtà sociale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L’apporto della psicoanalisi e la psicoanalisi infantile</w:t>
            </w:r>
          </w:p>
          <w:p>
            <w:pPr>
              <w:pStyle w:val="Normal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L’apporto del comportamentismo e del cognitivismo</w:t>
            </w:r>
          </w:p>
          <w:p>
            <w:pPr>
              <w:pStyle w:val="Normal"/>
              <w:widowControl w:val="false"/>
              <w:spacing w:before="0" w:after="1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L’apporto della psicologia umanistica e della teoria sistemico-relazionale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Verifica scritta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Settembre/Ottobre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</w:tc>
      </w:tr>
      <w:tr>
        <w:trPr>
          <w:trHeight w:val="2388" w:hRule="atLeast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i w:val="false"/>
                <w:i w:val="false"/>
                <w:iCs w:val="false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sz w:val="22"/>
                <w:szCs w:val="22"/>
                <w:lang w:eastAsia="it-IT"/>
              </w:rPr>
              <w:t>2. L’intervento sui soggetti con disagio psichico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i/>
                <w:i/>
                <w:iCs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i/>
                <w:iCs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i/>
                <w:i/>
                <w:iCs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i/>
                <w:iCs/>
                <w:color w:val="000000"/>
                <w:sz w:val="22"/>
                <w:szCs w:val="22"/>
                <w:lang w:eastAsia="it-IT"/>
              </w:rPr>
              <w:t xml:space="preserve">- 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sz w:val="22"/>
                <w:szCs w:val="22"/>
                <w:lang w:eastAsia="it-IT"/>
              </w:rPr>
              <w:t>UDA ‘Far rumore’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none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sz w:val="22"/>
                    <w:szCs w:val="22"/>
                    <w:lang w:eastAsia="it-IT"/>
                  </w:rPr>
                  <w:t>progettuale*</w:t>
                </w:r>
              </w:sdtContent>
            </w:sdt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  <w:lang w:eastAsia="it-IT"/>
              </w:rPr>
              <w:t>*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22"/>
                <w:szCs w:val="22"/>
                <w:lang w:eastAsia="it-IT"/>
              </w:rPr>
              <w:t>P</w:t>
            </w: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it-IT"/>
              </w:rPr>
              <w:t>rogetto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sz w:val="22"/>
                <w:szCs w:val="22"/>
                <w:lang w:eastAsia="it-IT"/>
              </w:rPr>
              <w:t xml:space="preserve"> ‘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sz w:val="22"/>
                <w:szCs w:val="22"/>
                <w:u w:val="none"/>
                <w:lang w:eastAsia="it-IT"/>
              </w:rPr>
              <w:t>Far rumore’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u w:val="none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none"/>
                <w:lang w:eastAsia="it-IT"/>
              </w:rPr>
              <w:t>Assi coinvolti: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u w:val="single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single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Area generale: linguaggi, storico-sociale, matematico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Area d'indirizzo: scientifico tecnologico e professionale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single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>Insegnamenti: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-Italiano e storia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 xml:space="preserve">-Psicologia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-Laboratorio dei servizi per la sanità e assistenza sociale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-Discipline sanitarie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-Lingue straniere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-Scienze Motorie e sportive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-Diritto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bookmarkStart w:id="0" w:name="docs-internal-guid-a975ad24-7fff-522c-aa"/>
            <w:bookmarkEnd w:id="0"/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Competenze area generale</w:t>
            </w: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Agire in riferimento ad un sistema di valori, coerenti con i principi della Costituzione, in base ai quali essere in grado di valutare fatti e orientare i propri comportamenti personali, sociali e professionali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Riconoscere gli aspetti geografici, ecologici, territoriali, dell’ambiente naturale ed antropico, le connessioni con le strutture demografiche, economiche, sociali, culturali e le trasformazioni intervenute nel corso del tempo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Utilizzare le reti e gli strumenti informatici nelle attività di studio, ricerca e approfondimento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Competenze area professionale: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 xml:space="preserve">- 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Partecipare e cooperare nei gruppi di lavoro e nelle équipe multi-professionali in diversi contesti organizzativi /lavorativi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Facilitare la comunicazione tra persone e gruppi, anche di culture e contesti diversi, adottando modalità comunicative e relazionali adeguate ai diversi ambiti professionali e alle diverse tipologie di utenza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 xml:space="preserve">- Partecipare alla presa in carico socio-assistenziale di soggetti le cui condizioni determinino uno stato di non autosufficienza parziale o totale, di terminalità, di compromissione delle capacità cognitive e motorie, </w:t>
            </w:r>
            <w:bookmarkStart w:id="1" w:name="docs-internal-guid-f1d27f88-7fff-ea71-d7"/>
            <w:bookmarkEnd w:id="1"/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applicando procedure e tecniche stabilite e facendo uso dei principali ausili e presidi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Curare l’allestimento dell’ambiente di vita della persona in difficoltà con riferimento alle misure per la salvaguardia della sua  sicurezza e incolumità, anche provvedendo alla promozione e al mantenimento delle capacità residue e della autonomia nel proprio ambiente di vita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Gestire azioni di informazione e di orientamento dell’utente per facilitare l’accessibilità e la fruizione autonoma dei servizi pubblici e privati presenti sul territorio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Realizzare in autonomia o in collaborazione con altre figure professionali, attività educative, di animazione sociale, ludiche e culturali adeguate ai diversi contesti e ai diversi bisogni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Realizzare, in collaborazione con altre figure professionali, azioni a sostegno e a tutela della persona con fragilità e/o disabilità e della sua famiglia, per favorire l’integrazione e migliorare o salvaguardare la qualità della vita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tabs>
                <w:tab w:val="clear" w:pos="708"/>
                <w:tab w:val="left" w:pos="289" w:leader="none"/>
              </w:tabs>
              <w:textAlignment w:val="baseline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Gli elementi fondamentali della psicoterapia e le sue finalità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9" w:leader="none"/>
              </w:tabs>
              <w:textAlignment w:val="baseline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9" w:leader="none"/>
              </w:tabs>
              <w:textAlignment w:val="baseline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Gli aspetti peculiari e le tecniche principali della psicoanalisi, della terapia comportamentale, della terapia cognitiva, delle psicoterapie umanistiche e della terapia sistemico-relazionale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9" w:leader="none"/>
              </w:tabs>
              <w:textAlignment w:val="baseline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9" w:leader="none"/>
              </w:tabs>
              <w:textAlignment w:val="baseline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Finalità dell’arteterapia e della pet therapy, e loro campi di applicazione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Un piano di intervento per i soggetti con disagio psichico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color w:val="000000"/>
                <w:sz w:val="22"/>
                <w:szCs w:val="22"/>
                <w:shd w:fill="FFFF00" w:val="clear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2"/>
                <w:szCs w:val="22"/>
                <w:shd w:fill="FFFF00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Realizzazione di un flash mob con gli utenti del Centro diurno del territorio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Progettare un piano di intervento individualizzato partendo da un caso di realtà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Simulazione seconda prova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Novembre/Dicembre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Decimi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Esito PCTO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  <w:t>Griglia di valutazione per competenze</w:t>
            </w:r>
          </w:p>
        </w:tc>
      </w:tr>
      <w:tr>
        <w:trPr>
          <w:trHeight w:val="285" w:hRule="atLeast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3. L’intervento sui soggetti disabilità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UDA ‘Progetto per te’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/>
                <w:iCs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MS Gothic" w:cs="MS Gothic" w:ascii="Arial" w:hAnsi="Arial"/>
                <w:color w:val="000000"/>
                <w:sz w:val="22"/>
                <w:szCs w:val="22"/>
              </w:rPr>
              <w:t>X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monodisciplinare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 xml:space="preserve">X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>multidisciplinare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MS Gothic" w:cs="MS Gothic" w:ascii="Arial" w:hAnsi="Arial"/>
                <w:color w:val="000000"/>
                <w:sz w:val="22"/>
                <w:szCs w:val="22"/>
              </w:rPr>
              <w:t>☐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asse/i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Quattrocento Sans" w:cs="Quattrocento Sans" w:ascii="Arial" w:hAnsi="Arial"/>
                <w:color w:val="000000"/>
                <w:sz w:val="22"/>
                <w:szCs w:val="22"/>
              </w:rPr>
              <w:t xml:space="preserve">X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indirizzo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Arimo" w:cs="Arimo" w:ascii="Arial" w:hAnsi="Arial"/>
                <w:color w:val="000000"/>
                <w:sz w:val="22"/>
                <w:szCs w:val="22"/>
              </w:rPr>
              <w:t>☐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recupero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Arimo" w:cs="Arimo" w:ascii="Arial" w:hAnsi="Arial"/>
                <w:color w:val="000000"/>
                <w:sz w:val="22"/>
                <w:szCs w:val="22"/>
              </w:rPr>
              <w:t>☐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potenziamento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X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progettuale</w:t>
            </w:r>
            <w:r>
              <w:rPr>
                <w:rFonts w:eastAsia="Arial" w:cs="Arial" w:ascii="Arial" w:hAnsi="Arial"/>
                <w:b/>
                <w:bCs/>
                <w:color w:val="000000"/>
                <w:sz w:val="22"/>
                <w:szCs w:val="22"/>
              </w:rPr>
              <w:t>*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Quattrocento Sans" w:cs="Quattrocento Sans" w:ascii="Arial" w:hAnsi="Arial"/>
                <w:color w:val="000000"/>
                <w:sz w:val="22"/>
                <w:szCs w:val="22"/>
              </w:rPr>
              <w:t xml:space="preserve">X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PCTO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*Lega del Filo d’oro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u w:val="none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none"/>
                <w:lang w:eastAsia="it-IT"/>
              </w:rPr>
              <w:t>Assi coinvolti: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u w:val="single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single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Area generale: linguaggi, storico-sociale, matematico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Area d'indirizzo: scientifico tecnologico e professionale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 xml:space="preserve">Insegnamenti: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Psicologia generale e applicata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Laboratorio dei servizi per la sanità e assistenza sociale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Discipline sanitarie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eltesto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</w:pPr>
            <w:bookmarkStart w:id="2" w:name="docs-internal-guid-9e7dd410-7fff-7286-d2"/>
            <w:bookmarkEnd w:id="2"/>
            <w:r>
              <w:rPr>
                <w:rFonts w:eastAsia="Arial" w:cs="Arial" w:ascii="Arial" w:hAnsi="Arial"/>
                <w:b w:val="false"/>
                <w:bCs w:val="false"/>
                <w:i w:val="false"/>
                <w:iCs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Competenze area generale:</w:t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Agire in riferimento ad un sistema di valori, coerenti con i principi della Costituzione, in base ai quali essere in grado di valutare fatti e orientare i propri comportamenti personali, sociali e professionali</w:t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Padroneggiare l’uso di strumenti tecnologici con particolare attenzione alla sicurezza e alla tutela della salute nei luoghi di lavoro, alla tutela della persona, dell’ambiente e del territorio</w:t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Utilizzare i concetti e i fondamentali strumenti degli assi culturali per comprendere la realtà operativa in campi applicativi</w:t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Competenze area professionale:</w:t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 Collaborare nella gestione di progetti e attività dei servizi sociali, socio-sanitari e socio educativi, rivolti a bambini, adolescenti, persone con disabilità anziani, minori a rischio, soggetti con disagio psico-sociale e altri soggetti in situazione di svantaggio, anche attraverso lo sviluppo di reti territoriali formali e informali</w:t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  <w:shd w:fill="auto" w:val="clear"/>
              </w:rPr>
            </w:r>
          </w:p>
          <w:p>
            <w:pPr>
              <w:pStyle w:val="Corpodeltesto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  <w:shd w:fill="auto" w:val="clear"/>
              </w:rPr>
              <w:t>-Prendersi cura e collaborare al soddisfacimento dei bisogni di base di bambini persone con disabilità, anziani nell’espletamento delle più comuni attività quotidiane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eastAsia="Arial" w:cs="Arial"/>
                <w:color w:val="000000"/>
                <w:u w:val="none"/>
              </w:rPr>
            </w:pPr>
            <w:r>
              <w:rPr>
                <w:rFonts w:eastAsia="Arial" w:cs="Arial"/>
                <w:color w:val="000000"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2"/>
                <w:szCs w:val="22"/>
                <w:u w:val="none"/>
              </w:rPr>
              <w:t>Competenze asse dei linguaggi: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color w:val="000000"/>
                <w:sz w:val="22"/>
                <w:szCs w:val="22"/>
              </w:rPr>
              <w:t>- Padronanza della lingua italiana: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iCs/>
                <w:color w:val="000000"/>
                <w:sz w:val="22"/>
                <w:szCs w:val="22"/>
              </w:rPr>
              <w:t>+Padroneggiare gli strumenti espressivi ed argomentativi indispensabili per gestire l’interazione comunicativa verbale in vari contesti;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color w:val="000000"/>
                <w:sz w:val="22"/>
                <w:szCs w:val="22"/>
              </w:rPr>
              <w:t>+ Leggere, comprendere ed interpretare testi scritti di vario tipo;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color w:val="000000"/>
                <w:sz w:val="22"/>
                <w:szCs w:val="22"/>
              </w:rPr>
              <w:t>+ Produrre testi di vario tipo in relazione ai differenti scopi comunicativi;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sz w:val="22"/>
                <w:szCs w:val="22"/>
              </w:rPr>
              <w:t>+ Utilizzare una lingua straniera per i principali scopi comunicativi ed operativi.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sz w:val="22"/>
                <w:szCs w:val="22"/>
              </w:rPr>
              <w:t>+ Utilizzare gli strumenti fondamentali per una fruizione consapevole del patrimonio artistico e letterario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iCs/>
                <w:u w:val="none"/>
              </w:rPr>
            </w:pPr>
            <w:r>
              <w:rPr>
                <w:iCs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sz w:val="22"/>
                <w:szCs w:val="22"/>
                <w:u w:val="none"/>
              </w:rPr>
              <w:t>Competenze asse scientifico tecnologico</w:t>
            </w:r>
            <w:r>
              <w:rPr>
                <w:rFonts w:eastAsia="Arial" w:cs="Arial" w:ascii="Arial" w:hAnsi="Arial"/>
                <w:b w:val="false"/>
                <w:bCs w:val="false"/>
                <w:i/>
                <w:sz w:val="22"/>
                <w:szCs w:val="22"/>
                <w:u w:val="none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</w:rPr>
              <w:t xml:space="preserve">- </w:t>
            </w:r>
            <w:r>
              <w:rPr>
                <w:rFonts w:eastAsia="Arial" w:cs="Arial" w:ascii="Arial" w:hAnsi="Arial"/>
                <w:b w:val="false"/>
                <w:bCs w:val="false"/>
                <w:iCs/>
                <w:sz w:val="22"/>
                <w:szCs w:val="22"/>
              </w:rPr>
              <w:t>Osservare, descrivere ed analizzare fenomeni appartenenti alla realtà naturale e artificiale e riconoscere nelle sue varie forme 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Cs/>
                <w:sz w:val="22"/>
                <w:szCs w:val="22"/>
              </w:rPr>
              <w:t>concetti di sistema e di complessità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Le fasi dell’intervento su soggetti con disabilità intellettiva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I possibili interventi sui comportamenti problema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Intervenire sulla disabilità motoria e sensoriale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Un piano di intervento per i soggetti disabili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Progettare un piano di intervento individualizzato partendo da un caso di realtà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Simulazione seconda prova o verifica orale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Dicembre/Gennaio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Decimi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Esito PCTO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  <w:t>Griglia di valutazione per competenze</w:t>
            </w:r>
          </w:p>
        </w:tc>
      </w:tr>
      <w:tr>
        <w:trPr>
          <w:trHeight w:val="285" w:hRule="atLeast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rPr>
                <w:rFonts w:ascii="Arial" w:hAnsi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22"/>
                <w:szCs w:val="22"/>
                <w:lang w:eastAsia="it-IT"/>
              </w:rPr>
              <w:t>4. L’intervento sui soggetti anziani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 w:val="false"/>
                    <w:bCs w:val="false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none"/>
                <w:lang w:eastAsia="it-IT"/>
              </w:rPr>
              <w:t>Assi coinvolti: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Scientifico tecnologico e professionale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 xml:space="preserve">Insegnamenti: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Psicologia generale e appliclata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Laboratorio dei servizi per la sanità e assistenza sociale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Discipline sanitarie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16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bCs/>
                <w:color w:val="000000"/>
                <w:sz w:val="22"/>
                <w:szCs w:val="22"/>
                <w:u w:val="none"/>
              </w:rPr>
              <w:t>Competenze area generale</w:t>
            </w:r>
            <w:r>
              <w:rPr>
                <w:rFonts w:eastAsia="Arial" w:cs="Arial" w:ascii="Arial" w:hAnsi="Arial"/>
                <w:b/>
                <w:color w:val="000000"/>
                <w:sz w:val="22"/>
                <w:szCs w:val="22"/>
                <w:u w:val="none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/>
                <w:color w:val="000000"/>
                <w:sz w:val="22"/>
                <w:szCs w:val="22"/>
              </w:rPr>
              <w:t xml:space="preserve">- </w:t>
            </w: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- Padroneggiare l’uso di strumenti tecnologici con particolare attenzione alla sicurezza e alla tutela della salute nei luoghi di lavoro, alla tutela della persona, dell’ambiente e del territorio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/>
                <w:i/>
                <w:sz w:val="22"/>
                <w:szCs w:val="22"/>
              </w:rPr>
            </w:pPr>
            <w:r>
              <w:rPr>
                <w:rFonts w:eastAsia="Arial" w:cs="Arial" w:ascii="Arial" w:hAnsi="Arial"/>
                <w:i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/>
                <w:sz w:val="22"/>
                <w:szCs w:val="22"/>
              </w:rPr>
              <w:t xml:space="preserve">- </w:t>
            </w:r>
            <w:r>
              <w:rPr>
                <w:rFonts w:eastAsia="Arial" w:cs="Arial" w:ascii="Arial" w:hAnsi="Arial"/>
                <w:iCs/>
                <w:sz w:val="22"/>
                <w:szCs w:val="22"/>
              </w:rPr>
              <w:t>Utilizzare</w:t>
            </w: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 xml:space="preserve"> i concetti e i fondamentali strumenti degli assi culturali per comprendere la realtà operativa in campi applicativi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bCs/>
                <w:color w:val="000000"/>
                <w:sz w:val="22"/>
                <w:szCs w:val="22"/>
                <w:u w:val="none"/>
              </w:rPr>
              <w:t>Competenze area professionale</w:t>
            </w:r>
            <w:r>
              <w:rPr>
                <w:rFonts w:eastAsia="Arial" w:cs="Arial" w:ascii="Arial" w:hAnsi="Arial"/>
                <w:b/>
                <w:i/>
                <w:color w:val="000000"/>
                <w:sz w:val="22"/>
                <w:szCs w:val="22"/>
                <w:u w:val="none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/>
                <w:sz w:val="22"/>
                <w:szCs w:val="22"/>
              </w:rPr>
              <w:t xml:space="preserve">- </w:t>
            </w:r>
            <w:r>
              <w:rPr>
                <w:rFonts w:eastAsia="Arial" w:cs="Arial" w:ascii="Arial" w:hAnsi="Arial"/>
                <w:iCs/>
                <w:sz w:val="22"/>
                <w:szCs w:val="22"/>
              </w:rPr>
              <w:t>Collaborare nella gestione di progetti e attività dei servizi sociali, socio-sanitari e socio educativi, rivolti a bambini, adolescenti, persone con disabilità anziani, minori a rischio, soggetti con disagio psico-sociale e altri soggetti in situazione di svantaggio, anche attraverso lo sviluppo di reti territoriali formali e informali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Times New Roman"/>
                <w:b/>
                <w:b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Arial" w:hAnsi="Arial"/>
                <w:b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-Prendersi cura e collaborare al soddisfacimento dei bisogni di base di bambini persone con disabilità, anziani nell’espletamento delle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più comuni attività quotidiane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Times New Roman"/>
                <w:iCs/>
                <w:sz w:val="22"/>
                <w:szCs w:val="22"/>
              </w:rPr>
            </w:pPr>
            <w:r>
              <w:rPr>
                <w:rFonts w:eastAsia="Times New Roman" w:cs="Times New Roman" w:ascii="Arial" w:hAnsi="Arial"/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>Competenze asse dei linguaggi: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/>
                <w:color w:val="000000"/>
                <w:sz w:val="22"/>
                <w:szCs w:val="22"/>
              </w:rPr>
              <w:t>-</w:t>
            </w: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Padronanza della lingua italiana: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+Padroneggiare gli strumenti espressivi ed argomentativi indispensabili per gestire l’interazione comunicativa verbale in vari contesti;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+Leggere, comprendere ed interpretare testi scritti di vario tipo;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+Produrre testi di vario tipo in relazione ai differenti scopi comunicativi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+Utilizzare una lingua straniera per i principali scopi comunicativi ed operativi;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+Utilizzare gli strumenti fondamentali per una fruizione consapevole del patrimonio artistico e letterario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  <w:u w:val="none"/>
              </w:rPr>
              <w:t>Competenze asse scientifico tecnologico</w:t>
            </w:r>
            <w:r>
              <w:rPr>
                <w:rFonts w:eastAsia="Arial" w:cs="Arial" w:ascii="Arial" w:hAnsi="Arial"/>
                <w:i/>
                <w:sz w:val="22"/>
                <w:szCs w:val="22"/>
                <w:u w:val="none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/>
                <w:iCs/>
                <w:sz w:val="22"/>
                <w:szCs w:val="22"/>
                <w:u w:val="none"/>
              </w:rPr>
              <w:t xml:space="preserve">- </w:t>
            </w:r>
            <w:r>
              <w:rPr>
                <w:rFonts w:eastAsia="Arial" w:cs="Arial" w:ascii="Arial" w:hAnsi="Arial"/>
                <w:iCs/>
                <w:sz w:val="22"/>
                <w:szCs w:val="22"/>
              </w:rPr>
              <w:t>Osservare, descrivere ed analizzare fenomeni appartenenti alla realtà naturale e artificiale e riconoscere nelle sue varie forme 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concetti di sistema e di complessità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32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  <w:t>Le terapie per contrastare la demenza senile</w:t>
            </w:r>
          </w:p>
          <w:p>
            <w:pPr>
              <w:pStyle w:val="Normal"/>
              <w:widowControl w:val="false"/>
              <w:spacing w:lineRule="exact" w:line="32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Un piano di intervento per anziani affetti da demenza</w:t>
            </w:r>
          </w:p>
          <w:p>
            <w:pPr>
              <w:pStyle w:val="Normal"/>
              <w:widowControl w:val="false"/>
              <w:spacing w:lineRule="exact" w:line="32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exact" w:line="32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16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Progettare un piano di intervento individualizzato partendo da un caso di realtà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Simulazione seconda prova o verifica orale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iCs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sz w:val="22"/>
                <w:szCs w:val="22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Febbraio/M</w:t>
            </w:r>
            <w:r>
              <w:rPr>
                <w:rFonts w:eastAsia="Times New Roman" w:cs="Arial" w:ascii="Arial" w:hAnsi="Arial"/>
                <w:sz w:val="22"/>
                <w:szCs w:val="22"/>
              </w:rPr>
              <w:t>arzo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Griglia di valutazione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 xml:space="preserve">Decimi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/>
              <w:rPr>
                <w:rFonts w:ascii="Arial" w:hAnsi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5.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2"/>
                <w:szCs w:val="22"/>
              </w:rPr>
              <w:t>L’intervento sui minori maltrattati e sui famigliari maltrattati</w:t>
            </w:r>
          </w:p>
          <w:p>
            <w:pPr>
              <w:pStyle w:val="Normal"/>
              <w:widowControl w:val="false"/>
              <w:spacing w:lineRule="auto" w:line="240" w:before="0" w:after="16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 w:val="false"/>
                    <w:bCs w:val="false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none"/>
                <w:lang w:eastAsia="it-IT"/>
              </w:rPr>
              <w:t>Assi coinvolti: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Scientifico tecnologico e professionale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 xml:space="preserve">Insegnamenti: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Psicologia generale e appliclata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Laboratorio dei servizi per la sanità e assistenza sociale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Discipline sanitarie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eastAsia="Arial"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Utilizzare gli strumenti culturali e metodologici per porsi con atteggiamento razionale, critico e responsabile di fronte alla realtà, ai suoi fenomeni e ai suoi problemi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Individuare collegamenti e relazioni tra un caso presentato e le nozioni teoriche apprese sul gioco come strumento terapeutico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Comprendere e interpretare i documenti legislativi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Facilitare la comunicazione tra persone e gruppi attraverso l’utilizzo di sistemi di relazione adeguati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3" w:leader="none"/>
              </w:tabs>
              <w:textAlignment w:val="baselin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Gestire azioni di informazione e orientamento dell’utente e dei suoi famigliari per facilitare l’accessibilità e la fruizione autonoma dei servizi pubblici e privati presenti sul territorio</w:t>
            </w:r>
          </w:p>
          <w:p>
            <w:pPr>
              <w:pStyle w:val="Normal"/>
              <w:widowControl w:val="false"/>
              <w:spacing w:lineRule="auto" w:line="240" w:before="0" w:after="16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Realizzare azioni a sostegno del minore e della sua famiglia per favorirne l’integrazione e migliorarne la qualità della vita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pacing w:beforeAutospacing="0" w:before="280" w:afterAutospacing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>Le fasi della presa in carico di un minore maltrattato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Le modalità di intervento sui famigliari maltrattati</w:t>
            </w:r>
          </w:p>
          <w:p>
            <w:pPr>
              <w:pStyle w:val="Normal"/>
              <w:widowControl w:val="false"/>
              <w:spacing w:lineRule="exact" w:line="320" w:before="0" w:after="160"/>
              <w:rPr>
                <w:rFonts w:ascii="Arial" w:hAnsi="Arial" w:eastAsia="Arial" w:cs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  <w:t>Un piano di intervento per il minore maltrattato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Progettare un piano di intervento individualizzato partendo da un caso di realtà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Simulazione seconda prova o verifica orale</w:t>
            </w:r>
          </w:p>
          <w:p>
            <w:pPr>
              <w:pStyle w:val="Normal"/>
              <w:widowControl w:val="false"/>
              <w:spacing w:lineRule="auto" w:line="240" w:before="0" w:after="16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Aprile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Griglia di valutazione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 xml:space="preserve">Decimi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16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6. L’intervento sui soggetti dipendenti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 xml:space="preserve">X 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di indirizzo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u w:val="none"/>
                <w:lang w:eastAsia="it-IT"/>
              </w:rPr>
              <w:t>Assi coinvolti: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Scientifico tecnologico e professionale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none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none"/>
              </w:rPr>
              <w:t xml:space="preserve">Insegnamenti: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Psicologia generale e appliclata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Laboratorio dei servizi per la sanità e assistenza sociale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Discipline sanitarie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  <w:u w:val="single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  <w:u w:val="single"/>
                <w:lang w:eastAsia="it-IT"/>
              </w:rPr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eastAsia="Arial"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Utilizzare gli strumenti culturali e metodologici per porsi con atteggiamento razionale, critico e responsabile di fronte alla realtà, ai suoi fenomeni e ai suoi problemi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Individuare collegamenti e relazioni tra un caso presentato e le nozioni teoriche apprese sui trattamenti delle dipendenze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Comprendere e interpretare i documenti legislativi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Facilitare la comunicazione tra persone e gruppi attraverso l’utilizzo di sistemi di relazione adeguati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3" w:leader="none"/>
              </w:tabs>
              <w:textAlignment w:val="baseline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Gestire azioni di informazione e orientamento dell’utente e dei suoi famigliari per facilitare l’accessibilità e la fruizione autonoma dei servizi pubblici e privati presenti sul territorio</w:t>
            </w:r>
          </w:p>
          <w:p>
            <w:pPr>
              <w:pStyle w:val="Normal"/>
              <w:widowControl w:val="false"/>
              <w:spacing w:before="0" w:after="16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>- Realizzare azioni a sostegno della persona dipendente e della sua famiglia, per favorirne l’integrazione e migliorarne la qualità della vita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320"/>
              <w:rPr>
                <w:rFonts w:ascii="Arial" w:hAnsi="Arial" w:eastAsia="Arial" w:cs="Arial"/>
                <w:b/>
                <w:b/>
                <w:bCs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bCs/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exact" w:line="320"/>
              <w:rPr>
                <w:rFonts w:ascii="Arial" w:hAnsi="Arial" w:eastAsia="Arial" w:cs="Arial"/>
                <w:iCs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</w:rPr>
              <w:t xml:space="preserve">I principali trattamenti delle dipendenze </w:t>
            </w:r>
          </w:p>
          <w:p>
            <w:pPr>
              <w:pStyle w:val="NormalWeb"/>
              <w:widowControl w:val="false"/>
              <w:spacing w:beforeAutospacing="0" w:before="280" w:afterAutospacing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Cs/>
                <w:sz w:val="22"/>
                <w:szCs w:val="22"/>
                <w:lang w:eastAsia="en-US"/>
              </w:rPr>
              <w:t>Un piano di intervento per soggetti dipendenti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Progettare un piano di intervento individualizzato partendo da un caso di realtà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Simulazione seconda prova o verifica orale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  <w:t>Maggio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eastAsia="it-IT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Corpodeltesto"/>
        <w:numPr>
          <w:ilvl w:val="0"/>
          <w:numId w:val="2"/>
        </w:numPr>
        <w:spacing w:before="73" w:after="120"/>
        <w:ind w:left="360" w:hanging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il titolo sintetico dell’UdA</w:t>
      </w:r>
    </w:p>
    <w:p>
      <w:pPr>
        <w:pStyle w:val="Corpodeltesto"/>
        <w:numPr>
          <w:ilvl w:val="0"/>
          <w:numId w:val="2"/>
        </w:numPr>
        <w:spacing w:lineRule="auto" w:line="276" w:before="1" w:after="120"/>
        <w:ind w:left="360" w:right="117" w:hanging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Specificare il tipo di UdA. L’UdA monodisciplinare è un percorso didattico sviluppato da un solo insegnamento dell’asse di riferimento; l’UdA multidisciplinare coinvolge più insegnamenti, anche di assi differenti; l’UdA di asse coinvolge o tutti o più di un insegnamento dell’asse culturale oppure più assi dell’area generale; l’UdA di indirizzo coinvolge almeno un asse dell’area generale e l’asse dell’area di indirizzo professionalizzante; le UdA di recupero o di potenziamento possono essere svolte/assegnate in itinere o durante la pausa didattica, al termine del primo periodo, oppure in occasione della revisione del PFI; l’UdA progettuale riguarda le ore dedicate allo sviluppo dei progetti scolastici; le UdA di PCTO (solo per il triennio) riguardano i percorsi di alternanza scuola-lavoro.</w:t>
      </w:r>
    </w:p>
    <w:p>
      <w:pPr>
        <w:pStyle w:val="Corpodeltesto"/>
        <w:numPr>
          <w:ilvl w:val="0"/>
          <w:numId w:val="2"/>
        </w:numPr>
        <w:spacing w:lineRule="auto" w:line="276" w:before="1" w:after="120"/>
        <w:ind w:left="360" w:right="117" w:hanging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>
      <w:pPr>
        <w:pStyle w:val="Corpodeltesto"/>
        <w:numPr>
          <w:ilvl w:val="0"/>
          <w:numId w:val="2"/>
        </w:numPr>
        <w:spacing w:before="1" w:after="120"/>
        <w:ind w:left="360" w:hanging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>
      <w:pPr>
        <w:pStyle w:val="Corpodeltesto"/>
        <w:numPr>
          <w:ilvl w:val="0"/>
          <w:numId w:val="2"/>
        </w:numPr>
        <w:spacing w:lineRule="exact" w:line="243"/>
        <w:ind w:left="360" w:hanging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 saperi essenziali – quelli che consentono all’allievo di acquisire ulteriori conoscenze - promossi dalle UdA.</w:t>
      </w:r>
    </w:p>
    <w:p>
      <w:pPr>
        <w:pStyle w:val="Corpodeltesto"/>
        <w:numPr>
          <w:ilvl w:val="0"/>
          <w:numId w:val="2"/>
        </w:numPr>
        <w:spacing w:lineRule="exact" w:line="243"/>
        <w:ind w:left="360" w:hanging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>
      <w:pPr>
        <w:pStyle w:val="Corpodeltesto"/>
        <w:spacing w:lineRule="exact" w:line="243"/>
        <w:ind w:left="360" w:hanging="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Normal"/>
        <w:spacing w:lineRule="auto" w:line="240"/>
        <w:ind w:firstLine="708"/>
        <w:rPr>
          <w:rFonts w:ascii="Arial" w:hAnsi="Arial" w:eastAsia="Times New Roman" w:cs="Arial"/>
          <w:color w:val="000000"/>
          <w:lang w:eastAsia="it-IT"/>
        </w:rPr>
      </w:pPr>
      <w:r>
        <w:rPr>
          <w:rFonts w:eastAsia="Times New Roman" w:cs="Arial" w:ascii="Arial" w:hAnsi="Arial"/>
          <w:color w:val="000000"/>
          <w:lang w:eastAsia="it-IT"/>
        </w:rPr>
        <w:t>Vimercate, 3 novembre 2022                                                  </w:t>
        <w:tab/>
        <w:tab/>
        <w:tab/>
        <w:t xml:space="preserve">                                            Il docente </w:t>
      </w:r>
    </w:p>
    <w:p>
      <w:pPr>
        <w:pStyle w:val="Normal"/>
        <w:spacing w:lineRule="auto" w:line="240" w:before="0" w:after="160"/>
        <w:ind w:firstLine="708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color w:val="000000"/>
          <w:lang w:eastAsia="it-IT"/>
        </w:rPr>
        <w:t xml:space="preserve">                                                                                                                       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itolo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next w:val="Normal"/>
    <w:link w:val="Titolo1Carattere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itolo2">
    <w:name w:val="Heading 2"/>
    <w:basedOn w:val="Normal"/>
    <w:next w:val="Normal"/>
    <w:link w:val="Titolo2Carattere"/>
    <w:qFormat/>
    <w:pPr>
      <w:keepNext w:val="true"/>
      <w:numPr>
        <w:ilvl w:val="1"/>
        <w:numId w:val="1"/>
      </w:numPr>
      <w:suppressAutoHyphens w:val="true"/>
      <w:spacing w:lineRule="auto" w:line="240" w:before="0" w:after="0"/>
      <w:ind w:left="0" w:right="34" w:hanging="0"/>
      <w:jc w:val="center"/>
      <w:outlineLvl w:val="1"/>
    </w:pPr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2Carattere" w:customStyle="1">
    <w:name w:val="Titolo 2 Carattere"/>
    <w:basedOn w:val="DefaultParagraphFont"/>
    <w:link w:val="Titolo2"/>
    <w:qFormat/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CorpotestoCarattere" w:customStyle="1">
    <w:name w:val="Corpo testo Carattere"/>
    <w:basedOn w:val="DefaultParagraphFont"/>
    <w:link w:val="Corpotesto"/>
    <w:qFormat/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character" w:styleId="IntestazioneCarattere" w:customStyle="1">
    <w:name w:val="Intestazione Carattere"/>
    <w:basedOn w:val="DefaultParagraphFont"/>
    <w:link w:val="Intestazione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Pr/>
  </w:style>
  <w:style w:type="character" w:styleId="Titolo1Carattere" w:customStyle="1">
    <w:name w:val="Titolo 1 Carattere"/>
    <w:basedOn w:val="DefaultParagraphFont"/>
    <w:link w:val="Titolo1"/>
    <w:uiPriority w:val="9"/>
    <w:qFormat/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Caratteridinumerazione">
    <w:name w:val="Caratteri di numerazione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PidipaginaCarattere"/>
    <w:uiPriority w:val="99"/>
    <w:unhideWhenUsed/>
    <w:qFormat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Intestazione">
    <w:name w:val="Header"/>
    <w:basedOn w:val="Normal"/>
    <w:link w:val="IntestazioneCarattere"/>
    <w:pPr>
      <w:tabs>
        <w:tab w:val="clear" w:pos="708"/>
        <w:tab w:val="center" w:pos="4819" w:leader="none"/>
        <w:tab w:val="right" w:pos="9638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LOnormal">
    <w:name w:val="LO-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Application>LibreOffice/7.0.0.3$Windows_X86_64 LibreOffice_project/8061b3e9204bef6b321a21033174034a5e2ea88e</Application>
  <Pages>12</Pages>
  <Words>2047</Words>
  <Characters>12664</Characters>
  <CharactersWithSpaces>14728</CharactersWithSpaces>
  <Paragraphs>247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2022-02-17T16:46:00Z</dcterms:created>
  <dc:creator>Tiziana Mazzagardi</dc:creator>
  <dc:description/>
  <dc:language>it-IT</dc:language>
  <cp:lastModifiedBy/>
  <dcterms:modified xsi:type="dcterms:W3CDTF">2022-11-23T17:52:11Z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KSOProductBuildVer">
    <vt:lpwstr>1033-11.2.0.9070</vt:lpwstr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